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E0" w:rsidRDefault="00FC37E0" w:rsidP="00FC37E0">
      <w:pPr>
        <w:rPr>
          <w:rFonts w:eastAsia="Times New Roman" w:cs="Times New Roman"/>
          <w:b/>
          <w:color w:val="000000" w:themeColor="text1"/>
          <w:sz w:val="40"/>
          <w:szCs w:val="36"/>
          <w:lang w:eastAsia="ru-RU"/>
        </w:rPr>
      </w:pPr>
    </w:p>
    <w:tbl>
      <w:tblPr>
        <w:tblW w:w="3780" w:type="dxa"/>
        <w:tblInd w:w="5573" w:type="dxa"/>
        <w:tblLayout w:type="fixed"/>
        <w:tblCellMar>
          <w:left w:w="71" w:type="dxa"/>
          <w:right w:w="71" w:type="dxa"/>
        </w:tblCellMar>
        <w:tblLook w:val="0000"/>
      </w:tblPr>
      <w:tblGrid>
        <w:gridCol w:w="3780"/>
      </w:tblGrid>
      <w:tr w:rsidR="00AE1E40" w:rsidTr="00D92B07">
        <w:tblPrEx>
          <w:tblCellMar>
            <w:top w:w="0" w:type="dxa"/>
            <w:bottom w:w="0" w:type="dxa"/>
          </w:tblCellMar>
        </w:tblPrEx>
        <w:trPr>
          <w:trHeight w:val="2157"/>
        </w:trPr>
        <w:tc>
          <w:tcPr>
            <w:tcW w:w="3780" w:type="dxa"/>
          </w:tcPr>
          <w:p w:rsidR="00AE1E40" w:rsidRPr="00AE1E40" w:rsidRDefault="00AE1E40" w:rsidP="00AE1E40">
            <w:pPr>
              <w:spacing w:after="0"/>
              <w:jc w:val="right"/>
            </w:pPr>
            <w:r w:rsidRPr="00AE1E40">
              <w:t>Утверждаю:</w:t>
            </w:r>
          </w:p>
          <w:p w:rsidR="00AE1E40" w:rsidRPr="00AE1E40" w:rsidRDefault="00AE1E40" w:rsidP="00AE1E40">
            <w:pPr>
              <w:spacing w:after="0"/>
              <w:jc w:val="right"/>
            </w:pPr>
            <w:r w:rsidRPr="00AE1E40">
              <w:t>Директор МКОУ ХНОШ им. Мусаева А.М.</w:t>
            </w:r>
          </w:p>
          <w:p w:rsidR="00AE1E40" w:rsidRPr="00AE1E40" w:rsidRDefault="00AE1E40" w:rsidP="00AE1E40">
            <w:pPr>
              <w:spacing w:after="0"/>
              <w:jc w:val="right"/>
            </w:pPr>
            <w:proofErr w:type="spellStart"/>
            <w:r w:rsidRPr="00AE1E40">
              <w:t>Атаева</w:t>
            </w:r>
            <w:proofErr w:type="spellEnd"/>
            <w:r w:rsidRPr="00AE1E40">
              <w:t xml:space="preserve"> Б.Б.__________</w:t>
            </w:r>
          </w:p>
          <w:p w:rsidR="00AE1E40" w:rsidRPr="00AE1E40" w:rsidRDefault="00AE1E40" w:rsidP="00AE1E40">
            <w:pPr>
              <w:spacing w:after="0"/>
              <w:jc w:val="right"/>
            </w:pPr>
            <w:r w:rsidRPr="00AE1E40">
              <w:t>«___»_____________2020г.</w:t>
            </w:r>
          </w:p>
        </w:tc>
      </w:tr>
    </w:tbl>
    <w:p w:rsidR="00FC37E0" w:rsidRDefault="00FC37E0" w:rsidP="00AE1E40">
      <w:pPr>
        <w:spacing w:after="0"/>
        <w:rPr>
          <w:rFonts w:eastAsia="Times New Roman" w:cs="Times New Roman"/>
          <w:b/>
          <w:color w:val="000000" w:themeColor="text1"/>
          <w:sz w:val="40"/>
          <w:szCs w:val="36"/>
          <w:lang w:eastAsia="ru-RU"/>
        </w:rPr>
      </w:pPr>
    </w:p>
    <w:p w:rsidR="00FC37E0" w:rsidRDefault="00FC37E0" w:rsidP="00FC37E0">
      <w:pPr>
        <w:jc w:val="center"/>
        <w:rPr>
          <w:rFonts w:eastAsia="Times New Roman" w:cs="Times New Roman"/>
          <w:b/>
          <w:color w:val="000000" w:themeColor="text1"/>
          <w:sz w:val="40"/>
          <w:szCs w:val="36"/>
          <w:lang w:eastAsia="ru-RU"/>
        </w:rPr>
      </w:pPr>
      <w:r w:rsidRPr="00FC37E0">
        <w:rPr>
          <w:rFonts w:eastAsia="Times New Roman" w:cs="Times New Roman"/>
          <w:b/>
          <w:color w:val="000000" w:themeColor="text1"/>
          <w:sz w:val="40"/>
          <w:szCs w:val="36"/>
          <w:lang w:eastAsia="ru-RU"/>
        </w:rPr>
        <w:t>Инструкция по правилам  использования автоматической пожарной  сигнализации</w:t>
      </w:r>
    </w:p>
    <w:p w:rsidR="00AE1E40" w:rsidRPr="00AE1E40" w:rsidRDefault="00AE1E40" w:rsidP="00FC37E0">
      <w:pPr>
        <w:jc w:val="center"/>
        <w:rPr>
          <w:b/>
          <w:color w:val="000000" w:themeColor="text1"/>
          <w:sz w:val="28"/>
        </w:rPr>
      </w:pPr>
      <w:r w:rsidRPr="00AE1E40">
        <w:rPr>
          <w:rFonts w:eastAsia="Times New Roman" w:cs="Times New Roman"/>
          <w:b/>
          <w:color w:val="000000" w:themeColor="text1"/>
          <w:sz w:val="48"/>
          <w:szCs w:val="36"/>
          <w:lang w:eastAsia="ru-RU"/>
        </w:rPr>
        <w:t xml:space="preserve">в </w:t>
      </w:r>
      <w:r w:rsidRPr="00AE1E40">
        <w:rPr>
          <w:b/>
          <w:bCs/>
          <w:sz w:val="32"/>
          <w:szCs w:val="27"/>
        </w:rPr>
        <w:t xml:space="preserve">МКОУ </w:t>
      </w:r>
      <w:proofErr w:type="spellStart"/>
      <w:r w:rsidRPr="00AE1E40">
        <w:rPr>
          <w:b/>
          <w:bCs/>
          <w:sz w:val="32"/>
          <w:szCs w:val="27"/>
        </w:rPr>
        <w:t>ХНОш</w:t>
      </w:r>
      <w:proofErr w:type="spellEnd"/>
      <w:r w:rsidRPr="00AE1E40">
        <w:rPr>
          <w:b/>
          <w:bCs/>
          <w:sz w:val="32"/>
          <w:szCs w:val="27"/>
        </w:rPr>
        <w:t xml:space="preserve"> им. Мусаева А.М.</w:t>
      </w:r>
    </w:p>
    <w:tbl>
      <w:tblPr>
        <w:tblW w:w="5379" w:type="pct"/>
        <w:tblCellSpacing w:w="0" w:type="dxa"/>
        <w:tblInd w:w="-709" w:type="dxa"/>
        <w:tblBorders>
          <w:bottom w:val="single" w:sz="12" w:space="0" w:color="5475A0"/>
        </w:tblBorders>
        <w:shd w:val="clear" w:color="auto" w:fill="FFFFFF"/>
        <w:tblCellMar>
          <w:left w:w="0" w:type="dxa"/>
          <w:bottom w:w="75" w:type="dxa"/>
          <w:right w:w="0" w:type="dxa"/>
        </w:tblCellMar>
        <w:tblLook w:val="04A0"/>
      </w:tblPr>
      <w:tblGrid>
        <w:gridCol w:w="10064"/>
      </w:tblGrid>
      <w:tr w:rsidR="00FC37E0" w:rsidRPr="00FC37E0" w:rsidTr="00FC37E0">
        <w:trPr>
          <w:trHeight w:val="9995"/>
          <w:tblCellSpacing w:w="0" w:type="dxa"/>
        </w:trPr>
        <w:tc>
          <w:tcPr>
            <w:tcW w:w="5000" w:type="pct"/>
            <w:shd w:val="clear" w:color="auto" w:fill="FFFFFF"/>
            <w:vAlign w:val="center"/>
            <w:hideMark/>
          </w:tcPr>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b/>
                <w:bCs/>
                <w:color w:val="000000"/>
                <w:sz w:val="23"/>
                <w:lang w:eastAsia="ru-RU"/>
              </w:rPr>
              <w:lastRenderedPageBreak/>
              <w:t>Системы пожарной сигнализации в школах и иных образовательных организациях</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Пожарная сигнализация – важнейший элемент пожарной безопасности школ и иных образовательных организаций. Вместе с тем в результате проверок учреждений образования выявлено, что не все учреждения имеют полный комплект документации, необходимый для организации эксплуатации, технического обслуживания и ремонта автоматических систем пожарной сигнализации (далее – АСПС). Более того, в отдельных образовательных организациях отсутствует в полном объеме документация АСПС на вновь введенные объекты или на объекты, на которых проведен капитальный ремонт. Это приводит к некачественному техническому обслуживанию и, как следствие, преждевременному выводу из эксплуатации систем пожарной сигнализации. А неисправность пожарной сигнализации в случае пожара может привести к человечески жертвам, увеличению числа пострадавших и крупным материальным потерям.</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Для решения этих проблем разработаны рекомендации по эксплуатации автоматических систем пожарной сигнализации и примерный перечень документации автоматических систем пожарной сигнализации в образовательном учреждении для организации надлежащей эксплуатации и технического обслуживания АСПС. Также напоминаем нашим читателям, что с 1 мая 2018 года введен в действие ГОСТ </w:t>
            </w:r>
            <w:proofErr w:type="gramStart"/>
            <w:r w:rsidRPr="00FC37E0">
              <w:rPr>
                <w:rFonts w:ascii="Roboto-Regular" w:eastAsia="Times New Roman" w:hAnsi="Roboto-Regular" w:cs="Times New Roman"/>
                <w:color w:val="000000"/>
                <w:sz w:val="23"/>
                <w:szCs w:val="23"/>
                <w:lang w:eastAsia="ru-RU"/>
              </w:rPr>
              <w:t>Р</w:t>
            </w:r>
            <w:proofErr w:type="gramEnd"/>
            <w:r w:rsidRPr="00FC37E0">
              <w:rPr>
                <w:rFonts w:ascii="Roboto-Regular" w:eastAsia="Times New Roman" w:hAnsi="Roboto-Regular" w:cs="Times New Roman"/>
                <w:color w:val="000000"/>
                <w:sz w:val="23"/>
                <w:szCs w:val="23"/>
                <w:lang w:eastAsia="ru-RU"/>
              </w:rPr>
              <w:t xml:space="preserve"> 57974-2017 «Организация проведения проверки работоспособности систем и установок противопожарной защиты зданий и сооружений. Общие требования»</w:t>
            </w:r>
            <w:bookmarkStart w:id="0" w:name="_ftnref1"/>
            <w:r w:rsidRPr="00FC37E0">
              <w:rPr>
                <w:rFonts w:ascii="Roboto-Regular" w:eastAsia="Times New Roman" w:hAnsi="Roboto-Regular" w:cs="Times New Roman"/>
                <w:color w:val="000000"/>
                <w:sz w:val="23"/>
                <w:szCs w:val="23"/>
                <w:lang w:eastAsia="ru-RU"/>
              </w:rPr>
              <w:fldChar w:fldCharType="begin"/>
            </w:r>
            <w:r w:rsidRPr="00FC37E0">
              <w:rPr>
                <w:rFonts w:ascii="Roboto-Regular" w:eastAsia="Times New Roman" w:hAnsi="Roboto-Regular" w:cs="Times New Roman"/>
                <w:color w:val="000000"/>
                <w:sz w:val="23"/>
                <w:szCs w:val="23"/>
                <w:lang w:eastAsia="ru-RU"/>
              </w:rPr>
              <w:instrText xml:space="preserve"> HYPERLINK "http://xn------5cdabpnn3clplkte7at4a7e.xn--p1ai/publ/pozharnaja_bezopasnost_v_shkole/03_protivopozharnoe_osnashhenie/pozharnaja_signalizacija_v_shkolakh_i_inykh_obrazovatelnykh_organizacijakh/25-1-0-467" \l "_ftn1" \o "" </w:instrText>
            </w:r>
            <w:r w:rsidRPr="00FC37E0">
              <w:rPr>
                <w:rFonts w:ascii="Roboto-Regular" w:eastAsia="Times New Roman" w:hAnsi="Roboto-Regular" w:cs="Times New Roman"/>
                <w:color w:val="000000"/>
                <w:sz w:val="23"/>
                <w:szCs w:val="23"/>
                <w:lang w:eastAsia="ru-RU"/>
              </w:rPr>
              <w:fldChar w:fldCharType="separate"/>
            </w:r>
            <w:r w:rsidRPr="00FC37E0">
              <w:rPr>
                <w:rFonts w:ascii="Roboto-Regular" w:eastAsia="Times New Roman" w:hAnsi="Roboto-Regular" w:cs="Times New Roman"/>
                <w:color w:val="162FEC"/>
                <w:sz w:val="23"/>
                <w:lang w:eastAsia="ru-RU"/>
              </w:rPr>
              <w:t>[1]</w:t>
            </w:r>
            <w:r w:rsidRPr="00FC37E0">
              <w:rPr>
                <w:rFonts w:ascii="Roboto-Regular" w:eastAsia="Times New Roman" w:hAnsi="Roboto-Regular" w:cs="Times New Roman"/>
                <w:color w:val="000000"/>
                <w:sz w:val="23"/>
                <w:szCs w:val="23"/>
                <w:lang w:eastAsia="ru-RU"/>
              </w:rPr>
              <w:fldChar w:fldCharType="end"/>
            </w:r>
            <w:bookmarkEnd w:id="0"/>
            <w:r w:rsidRPr="00FC37E0">
              <w:rPr>
                <w:rFonts w:ascii="Roboto-Regular" w:eastAsia="Times New Roman" w:hAnsi="Roboto-Regular" w:cs="Times New Roman"/>
                <w:color w:val="000000"/>
                <w:sz w:val="23"/>
                <w:szCs w:val="23"/>
                <w:lang w:eastAsia="ru-RU"/>
              </w:rPr>
              <w:t>. Реализация положений стандарта направлена на обеспечение выполнения требований Федерального закона от 22.07.2008 N 123-ФЗ "Технический регламент о требованиях пожарной безопасности" и постановления Правительства Российской Федерации от 25.04.2012 N 390 "О противопожарном режиме". Стандарт устанавливает требования к организации проведения проверок работоспособности вводимых в эксплуатацию и эксплуатируемых в зданиях и сооружениях систем, установок противопожарной защиты и их элементов.</w:t>
            </w:r>
            <w:bookmarkStart w:id="1" w:name="_ftnref2"/>
            <w:r w:rsidRPr="00FC37E0">
              <w:rPr>
                <w:rFonts w:ascii="Roboto-Regular" w:eastAsia="Times New Roman" w:hAnsi="Roboto-Regular" w:cs="Times New Roman"/>
                <w:color w:val="000000"/>
                <w:sz w:val="23"/>
                <w:szCs w:val="23"/>
                <w:lang w:eastAsia="ru-RU"/>
              </w:rPr>
              <w:fldChar w:fldCharType="begin"/>
            </w:r>
            <w:r w:rsidRPr="00FC37E0">
              <w:rPr>
                <w:rFonts w:ascii="Roboto-Regular" w:eastAsia="Times New Roman" w:hAnsi="Roboto-Regular" w:cs="Times New Roman"/>
                <w:color w:val="000000"/>
                <w:sz w:val="23"/>
                <w:szCs w:val="23"/>
                <w:lang w:eastAsia="ru-RU"/>
              </w:rPr>
              <w:instrText xml:space="preserve"> HYPERLINK "http://xn------5cdabpnn3clplkte7at4a7e.xn--p1ai/publ/pozharnaja_bezopasnost_v_shkole/03_protivopozharnoe_osnashhenie/pozharnaja_signalizacija_v_shkolakh_i_inykh_obrazovatelnykh_organizacijakh/25-1-0-467" \l "_ftn2" \o "" </w:instrText>
            </w:r>
            <w:r w:rsidRPr="00FC37E0">
              <w:rPr>
                <w:rFonts w:ascii="Roboto-Regular" w:eastAsia="Times New Roman" w:hAnsi="Roboto-Regular" w:cs="Times New Roman"/>
                <w:color w:val="000000"/>
                <w:sz w:val="23"/>
                <w:szCs w:val="23"/>
                <w:lang w:eastAsia="ru-RU"/>
              </w:rPr>
              <w:fldChar w:fldCharType="separate"/>
            </w:r>
            <w:r w:rsidRPr="00FC37E0">
              <w:rPr>
                <w:rFonts w:ascii="Roboto-Regular" w:eastAsia="Times New Roman" w:hAnsi="Roboto-Regular" w:cs="Times New Roman"/>
                <w:color w:val="162FEC"/>
                <w:sz w:val="23"/>
                <w:lang w:eastAsia="ru-RU"/>
              </w:rPr>
              <w:t>[2]</w:t>
            </w:r>
            <w:r w:rsidRPr="00FC37E0">
              <w:rPr>
                <w:rFonts w:ascii="Roboto-Regular" w:eastAsia="Times New Roman" w:hAnsi="Roboto-Regular" w:cs="Times New Roman"/>
                <w:color w:val="000000"/>
                <w:sz w:val="23"/>
                <w:szCs w:val="23"/>
                <w:lang w:eastAsia="ru-RU"/>
              </w:rPr>
              <w:fldChar w:fldCharType="end"/>
            </w:r>
            <w:bookmarkEnd w:id="1"/>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bookmarkStart w:id="2" w:name="Par22"/>
            <w:bookmarkEnd w:id="2"/>
            <w:r w:rsidRPr="00FC37E0">
              <w:rPr>
                <w:rFonts w:ascii="Roboto-Regular" w:eastAsia="Times New Roman" w:hAnsi="Roboto-Regular" w:cs="Times New Roman"/>
                <w:b/>
                <w:bCs/>
                <w:color w:val="000000"/>
                <w:sz w:val="23"/>
                <w:lang w:eastAsia="ru-RU"/>
              </w:rPr>
              <w:t>Рекомендации по эксплуатации автоматических систем пожарной сигнализации в школах и иных образовательных организациях</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специальной информации и (или) выдачи команд на включение автоматических установок пожаротушения и включение исполнительных установок систем </w:t>
            </w:r>
            <w:proofErr w:type="spellStart"/>
            <w:r w:rsidRPr="00FC37E0">
              <w:rPr>
                <w:rFonts w:ascii="Roboto-Regular" w:eastAsia="Times New Roman" w:hAnsi="Roboto-Regular" w:cs="Times New Roman"/>
                <w:color w:val="000000"/>
                <w:sz w:val="23"/>
                <w:szCs w:val="23"/>
                <w:lang w:eastAsia="ru-RU"/>
              </w:rPr>
              <w:t>противодымной</w:t>
            </w:r>
            <w:proofErr w:type="spellEnd"/>
            <w:r w:rsidRPr="00FC37E0">
              <w:rPr>
                <w:rFonts w:ascii="Roboto-Regular" w:eastAsia="Times New Roman" w:hAnsi="Roboto-Regular" w:cs="Times New Roman"/>
                <w:color w:val="000000"/>
                <w:sz w:val="23"/>
                <w:szCs w:val="23"/>
                <w:lang w:eastAsia="ru-RU"/>
              </w:rPr>
              <w:t xml:space="preserve"> защиты, технологического и инженерного оборудования, а также других устрой</w:t>
            </w:r>
            <w:proofErr w:type="gramStart"/>
            <w:r w:rsidRPr="00FC37E0">
              <w:rPr>
                <w:rFonts w:ascii="Roboto-Regular" w:eastAsia="Times New Roman" w:hAnsi="Roboto-Regular" w:cs="Times New Roman"/>
                <w:color w:val="000000"/>
                <w:sz w:val="23"/>
                <w:szCs w:val="23"/>
                <w:lang w:eastAsia="ru-RU"/>
              </w:rPr>
              <w:t>ств пр</w:t>
            </w:r>
            <w:proofErr w:type="gramEnd"/>
            <w:r w:rsidRPr="00FC37E0">
              <w:rPr>
                <w:rFonts w:ascii="Roboto-Regular" w:eastAsia="Times New Roman" w:hAnsi="Roboto-Regular" w:cs="Times New Roman"/>
                <w:color w:val="000000"/>
                <w:sz w:val="23"/>
                <w:szCs w:val="23"/>
                <w:lang w:eastAsia="ru-RU"/>
              </w:rPr>
              <w:t>отивопожарной защиты.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Состав средств пожарной сигнализации следующий: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 </w:t>
            </w:r>
            <w:proofErr w:type="spellStart"/>
            <w:r w:rsidRPr="00FC37E0">
              <w:rPr>
                <w:rFonts w:ascii="Roboto-Regular" w:eastAsia="Times New Roman" w:hAnsi="Roboto-Regular" w:cs="Times New Roman"/>
                <w:color w:val="000000"/>
                <w:sz w:val="23"/>
                <w:szCs w:val="23"/>
                <w:lang w:eastAsia="ru-RU"/>
              </w:rPr>
              <w:t>извещатели</w:t>
            </w:r>
            <w:proofErr w:type="spellEnd"/>
            <w:r w:rsidRPr="00FC37E0">
              <w:rPr>
                <w:rFonts w:ascii="Roboto-Regular" w:eastAsia="Times New Roman" w:hAnsi="Roboto-Regular" w:cs="Times New Roman"/>
                <w:color w:val="000000"/>
                <w:sz w:val="23"/>
                <w:szCs w:val="23"/>
                <w:lang w:eastAsia="ru-RU"/>
              </w:rPr>
              <w:t xml:space="preserve"> пожарные;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приборы приемно-контрольные пожарные;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приборы управления пожарные;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технические средства оповещения и управления эвакуацией пожарные;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системы передачи извещений о пожаре;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другие приборы и оборудование для построения систем пожарной автоматики.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В соответствии с Правилами противопожарного режима в Российской Федерации</w:t>
            </w:r>
            <w:bookmarkStart w:id="3" w:name="_ftnref3"/>
            <w:r w:rsidRPr="00FC37E0">
              <w:rPr>
                <w:rFonts w:ascii="Roboto-Regular" w:eastAsia="Times New Roman" w:hAnsi="Roboto-Regular" w:cs="Times New Roman"/>
                <w:color w:val="000000"/>
                <w:sz w:val="23"/>
                <w:szCs w:val="23"/>
                <w:lang w:eastAsia="ru-RU"/>
              </w:rPr>
              <w:fldChar w:fldCharType="begin"/>
            </w:r>
            <w:r w:rsidRPr="00FC37E0">
              <w:rPr>
                <w:rFonts w:ascii="Roboto-Regular" w:eastAsia="Times New Roman" w:hAnsi="Roboto-Regular" w:cs="Times New Roman"/>
                <w:color w:val="000000"/>
                <w:sz w:val="23"/>
                <w:szCs w:val="23"/>
                <w:lang w:eastAsia="ru-RU"/>
              </w:rPr>
              <w:instrText xml:space="preserve"> HYPERLINK "http://xn------5cdabpnn3clplkte7at4a7e.xn--p1ai/publ/pozharnaja_bezopasnost_v_shkole/03_protivopozharnoe_osnashhenie/pozharnaja_signalizacija_v_shkolakh_i_inykh_obrazovatelnykh_organizacijakh/25-1-0-467" \l "_ftn3" \o "" </w:instrText>
            </w:r>
            <w:r w:rsidRPr="00FC37E0">
              <w:rPr>
                <w:rFonts w:ascii="Roboto-Regular" w:eastAsia="Times New Roman" w:hAnsi="Roboto-Regular" w:cs="Times New Roman"/>
                <w:color w:val="000000"/>
                <w:sz w:val="23"/>
                <w:szCs w:val="23"/>
                <w:lang w:eastAsia="ru-RU"/>
              </w:rPr>
              <w:fldChar w:fldCharType="separate"/>
            </w:r>
            <w:r w:rsidRPr="00FC37E0">
              <w:rPr>
                <w:rFonts w:ascii="Roboto-Regular" w:eastAsia="Times New Roman" w:hAnsi="Roboto-Regular" w:cs="Times New Roman"/>
                <w:color w:val="162FEC"/>
                <w:sz w:val="23"/>
                <w:lang w:eastAsia="ru-RU"/>
              </w:rPr>
              <w:t>[3]</w:t>
            </w:r>
            <w:r w:rsidRPr="00FC37E0">
              <w:rPr>
                <w:rFonts w:ascii="Roboto-Regular" w:eastAsia="Times New Roman" w:hAnsi="Roboto-Regular" w:cs="Times New Roman"/>
                <w:color w:val="000000"/>
                <w:sz w:val="23"/>
                <w:szCs w:val="23"/>
                <w:lang w:eastAsia="ru-RU"/>
              </w:rPr>
              <w:fldChar w:fldCharType="end"/>
            </w:r>
            <w:bookmarkEnd w:id="3"/>
            <w:r w:rsidRPr="00FC37E0">
              <w:rPr>
                <w:rFonts w:ascii="Roboto-Regular" w:eastAsia="Times New Roman" w:hAnsi="Roboto-Regular" w:cs="Times New Roman"/>
                <w:color w:val="000000"/>
                <w:sz w:val="23"/>
                <w:szCs w:val="23"/>
                <w:lang w:eastAsia="ru-RU"/>
              </w:rPr>
              <w:t> (далее – Правила противопожарного режима), на руководителя возложена обязанность по обеспечению исправного состояния систем и сре</w:t>
            </w:r>
            <w:proofErr w:type="gramStart"/>
            <w:r w:rsidRPr="00FC37E0">
              <w:rPr>
                <w:rFonts w:ascii="Roboto-Regular" w:eastAsia="Times New Roman" w:hAnsi="Roboto-Regular" w:cs="Times New Roman"/>
                <w:color w:val="000000"/>
                <w:sz w:val="23"/>
                <w:szCs w:val="23"/>
                <w:lang w:eastAsia="ru-RU"/>
              </w:rPr>
              <w:t>дств пр</w:t>
            </w:r>
            <w:proofErr w:type="gramEnd"/>
            <w:r w:rsidRPr="00FC37E0">
              <w:rPr>
                <w:rFonts w:ascii="Roboto-Regular" w:eastAsia="Times New Roman" w:hAnsi="Roboto-Regular" w:cs="Times New Roman"/>
                <w:color w:val="000000"/>
                <w:sz w:val="23"/>
                <w:szCs w:val="23"/>
                <w:lang w:eastAsia="ru-RU"/>
              </w:rPr>
              <w:t>отивопожарной защиты объекта, в т.ч. средств пожарной сигнализации.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proofErr w:type="gramStart"/>
            <w:r w:rsidRPr="00FC37E0">
              <w:rPr>
                <w:rFonts w:ascii="Roboto-Regular" w:eastAsia="Times New Roman" w:hAnsi="Roboto-Regular" w:cs="Times New Roman"/>
                <w:color w:val="000000"/>
                <w:sz w:val="23"/>
                <w:szCs w:val="23"/>
                <w:lang w:eastAsia="ru-RU"/>
              </w:rPr>
              <w:t xml:space="preserve">Руководитель образовательной организации обязан обеспечить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w:t>
            </w:r>
            <w:proofErr w:type="spellStart"/>
            <w:r w:rsidRPr="00FC37E0">
              <w:rPr>
                <w:rFonts w:ascii="Roboto-Regular" w:eastAsia="Times New Roman" w:hAnsi="Roboto-Regular" w:cs="Times New Roman"/>
                <w:color w:val="000000"/>
                <w:sz w:val="23"/>
                <w:szCs w:val="23"/>
                <w:lang w:eastAsia="ru-RU"/>
              </w:rPr>
              <w:t>противодымной</w:t>
            </w:r>
            <w:proofErr w:type="spellEnd"/>
            <w:r w:rsidRPr="00FC37E0">
              <w:rPr>
                <w:rFonts w:ascii="Roboto-Regular" w:eastAsia="Times New Roman" w:hAnsi="Roboto-Regular" w:cs="Times New Roman"/>
                <w:color w:val="000000"/>
                <w:sz w:val="23"/>
                <w:szCs w:val="23"/>
                <w:lang w:eastAsia="ru-RU"/>
              </w:rPr>
              <w:t xml:space="preserve"> защиты, систем оповещения людей о пожаре и управления эвакуацией).</w:t>
            </w:r>
            <w:proofErr w:type="gramEnd"/>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Проводить техническое обслуживание (далее – ТО) автоматических систем пожарных сигнализаций, как и их монтаж, в соответствии с Постановлением Правительства РФ "О лицензировании деятельности по монтажу, техническому обслуживанию и ремонту средств обеспечения пожарной безопасности зданий и сооружений" от 30.12.2011 N 1225 может только организация, имеющая соответствующую лицензию. Руководителю необходимо знать, что должна делать обслуживающая </w:t>
            </w:r>
            <w:r w:rsidRPr="00FC37E0">
              <w:rPr>
                <w:rFonts w:ascii="Roboto-Regular" w:eastAsia="Times New Roman" w:hAnsi="Roboto-Regular" w:cs="Times New Roman"/>
                <w:color w:val="000000"/>
                <w:sz w:val="23"/>
                <w:szCs w:val="23"/>
                <w:lang w:eastAsia="ru-RU"/>
              </w:rPr>
              <w:lastRenderedPageBreak/>
              <w:t>организация и за что он платит ей деньги.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Проведение ТО АСПС оформляется в виде годового плана-графика, прилагаемого к договору между организацией, эксплуатирующей АПС, и обслуживающей организацией. Годовой план-график регламентных работ по техническому обслуживанию пожарной сигнализации отражает объем работ, который должна выполнять обслуживающая организация, и включает в себя: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перечень регламентных работ, которые должны выполняться каждый месяц;</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состав каждого вида регламентных работ (технологические карты с операциями).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Периодичность проведения регламентных работ по ТО АСПС определена в Методических рекомендациях "Автоматические системы пожаротушения и пожарной сигнализации. Правила приемки и контроля", утвержденных начальником Всероссийского научно-исследовательского </w:t>
            </w:r>
            <w:proofErr w:type="gramStart"/>
            <w:r w:rsidRPr="00FC37E0">
              <w:rPr>
                <w:rFonts w:ascii="Roboto-Regular" w:eastAsia="Times New Roman" w:hAnsi="Roboto-Regular" w:cs="Times New Roman"/>
                <w:color w:val="000000"/>
                <w:sz w:val="23"/>
                <w:szCs w:val="23"/>
                <w:lang w:eastAsia="ru-RU"/>
              </w:rPr>
              <w:t>института противопожарной обороны Министерства внутренних дел Российской Федерации</w:t>
            </w:r>
            <w:proofErr w:type="gramEnd"/>
            <w:r w:rsidRPr="00FC37E0">
              <w:rPr>
                <w:rFonts w:ascii="Roboto-Regular" w:eastAsia="Times New Roman" w:hAnsi="Roboto-Regular" w:cs="Times New Roman"/>
                <w:color w:val="000000"/>
                <w:sz w:val="23"/>
                <w:szCs w:val="23"/>
                <w:lang w:eastAsia="ru-RU"/>
              </w:rPr>
              <w:t xml:space="preserve"> 31 декабря 1998 года. В Методических рекомендациях не описаны технологические карты для проведения каждого вида регламентных работ, поскольку они зависят от специфики оборудования заводов-производителей. Найти информацию для составления технологических карт можно в эксплуатационной документации заводов-производителей (паспортах, руководствах по эксплуатации). Однако нужно понимать различие между техническим обслуживанием отдельных устройств и их обслуживанием в составе системы пожарной сигнализации. Нельзя пренебрегать взаимосвязью устройств в АСПС или связями этой системы с другими противопожарными системами. В противном случае тестовая проверка дымовых пожарных </w:t>
            </w:r>
            <w:proofErr w:type="spellStart"/>
            <w:r w:rsidRPr="00FC37E0">
              <w:rPr>
                <w:rFonts w:ascii="Roboto-Regular" w:eastAsia="Times New Roman" w:hAnsi="Roboto-Regular" w:cs="Times New Roman"/>
                <w:color w:val="000000"/>
                <w:sz w:val="23"/>
                <w:szCs w:val="23"/>
                <w:lang w:eastAsia="ru-RU"/>
              </w:rPr>
              <w:t>извещателей</w:t>
            </w:r>
            <w:proofErr w:type="spellEnd"/>
            <w:r w:rsidRPr="00FC37E0">
              <w:rPr>
                <w:rFonts w:ascii="Roboto-Regular" w:eastAsia="Times New Roman" w:hAnsi="Roboto-Regular" w:cs="Times New Roman"/>
                <w:color w:val="000000"/>
                <w:sz w:val="23"/>
                <w:szCs w:val="23"/>
                <w:lang w:eastAsia="ru-RU"/>
              </w:rPr>
              <w:t xml:space="preserve"> может, например, закончиться автоматическим запуском системы оповещения или пожаротушения. Таким образом, технологические карты для проведения регламентных работ технического обслуживания пожарной сигнализации должны индивидуально разрабатываться для каждого объекта. Квалифицированно выполнить эту работу может проектная или обслуживающая организация на основе проектной (или исполнительной) документации на АСПС и документации заводов-производителей элементов АСПС.</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При организации технического обслуживания системы пожарной сигнализации не следует пренебрегать документированием. Основным документом, который требует регулярного заполнения, является журнал регистрации работ по техническому обслуживанию автоматических пожарных сигнализаций. Он заполняется обслуживающей организацией, визируется представителем объекта и хранится на объекте. Современные системы пожарной сигнализации поддерживают электронный журнал событий, в котором могут быть зафиксированы процедуры технического обслуживания.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Профилактическая работа специалистами, обслуживающими АПС, должна вестись по следующим направлениям:</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периодически осматривать систему, чтобы вовремя заметить неисправности;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проверять правильность работы программного обеспечения;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корректировать настройки видеокамер, датчиков и пр.;</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чистить системные блоки, узлы, устройства;</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проверять и ремонтировать разъемы и соединения;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проводить обучение работников правильной работе с оборудованием;</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анализировать состояние системы, знакомить руководителя учреждения с этой информацией.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b/>
                <w:bCs/>
                <w:color w:val="000000"/>
                <w:sz w:val="23"/>
                <w:lang w:eastAsia="ru-RU"/>
              </w:rPr>
              <w:t>Документы, необходимые при эксплуатации пожарной сигнализации в образовательном учреждении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В соответствии с требованиями Правил противопожарного режима на объекте должна храниться следующая документация на установки и системы противопожарной защиты объекта:</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1) исполнительная документация на системы противопожарной защиты;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2) инструкция по эксплуатации автоматической пожарной сигнализации;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3) перечень регламентных работ по техническому обслуживанию;</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4) график проведения технического обслуживания;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5) журнал учета работ по проведению технического обслуживания;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6) журнал учета неисправностей;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7) протокол проведения комплексных испытаний;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8) договор с обслуживающей организацией на проведение работ по ТО;</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9) должностные инструкции лица, ответственного за эксплуатацию систем пожарной сигнализации.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lastRenderedPageBreak/>
              <w:t> </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b/>
                <w:bCs/>
                <w:color w:val="000000"/>
                <w:sz w:val="23"/>
                <w:lang w:eastAsia="ru-RU"/>
              </w:rPr>
              <w:t>Примерный состав исполнительной документации на системы противопожарной защиты: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1) исполнительные схемы;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2) акты освидетельствования скрытых работ;</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3) акты испытаний, ведомости и протоколы: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акты входного контроля;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передачи оборудования, изделий и материалов в монтаж;</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обследования зданий;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готовности зданий и сооружений к производству монтажных работ;</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протокол замера сопротивления изоляции электрической проводки;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об окончании монтажных работ;</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 ведомость смонтированных приемно-контрольных приборов (сигнально-пусковых устройств) и </w:t>
            </w:r>
            <w:proofErr w:type="spellStart"/>
            <w:r w:rsidRPr="00FC37E0">
              <w:rPr>
                <w:rFonts w:ascii="Roboto-Regular" w:eastAsia="Times New Roman" w:hAnsi="Roboto-Regular" w:cs="Times New Roman"/>
                <w:color w:val="000000"/>
                <w:sz w:val="23"/>
                <w:szCs w:val="23"/>
                <w:lang w:eastAsia="ru-RU"/>
              </w:rPr>
              <w:t>извещателей</w:t>
            </w:r>
            <w:proofErr w:type="spellEnd"/>
            <w:r w:rsidRPr="00FC37E0">
              <w:rPr>
                <w:rFonts w:ascii="Roboto-Regular" w:eastAsia="Times New Roman" w:hAnsi="Roboto-Regular" w:cs="Times New Roman"/>
                <w:color w:val="000000"/>
                <w:sz w:val="23"/>
                <w:szCs w:val="23"/>
                <w:lang w:eastAsia="ru-RU"/>
              </w:rPr>
              <w:t>;</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испытания защитных трубопроводов с разделительными уплотнениями на герметичность (составляется при монтаже технических средств сигнализации во взрывоопасных зонах);</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об окончании пусконаладочных работ;</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проведения комплексных испытаний автоматической установки пожарной сигнализации;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приемки технических средств оповещения и управления эвакуацией людей при пожаре в эксплуатацию после комплексного опробования;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акт приемки технических средств системы пожарной сигнализации в эксплуатацию;</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4) сертификаты и паспорта качества на применяемые материалы и оборудование, санитарно-эпидемиологические заключения, сертификаты пожарной безопасности. Техническая документация предприятий изготовителей, инструкции по эксплуатации оборудования;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5) комплект рабочих чертежей на системы пожарной сигнализации и оповещения.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b/>
                <w:bCs/>
                <w:color w:val="000000"/>
                <w:sz w:val="23"/>
                <w:lang w:eastAsia="ru-RU"/>
              </w:rPr>
              <w:t xml:space="preserve">Проведение </w:t>
            </w:r>
            <w:proofErr w:type="gramStart"/>
            <w:r w:rsidRPr="00FC37E0">
              <w:rPr>
                <w:rFonts w:ascii="Roboto-Regular" w:eastAsia="Times New Roman" w:hAnsi="Roboto-Regular" w:cs="Times New Roman"/>
                <w:b/>
                <w:bCs/>
                <w:color w:val="000000"/>
                <w:sz w:val="23"/>
                <w:lang w:eastAsia="ru-RU"/>
              </w:rPr>
              <w:t>контроля за</w:t>
            </w:r>
            <w:proofErr w:type="gramEnd"/>
            <w:r w:rsidRPr="00FC37E0">
              <w:rPr>
                <w:rFonts w:ascii="Roboto-Regular" w:eastAsia="Times New Roman" w:hAnsi="Roboto-Regular" w:cs="Times New Roman"/>
                <w:b/>
                <w:bCs/>
                <w:color w:val="000000"/>
                <w:sz w:val="23"/>
                <w:lang w:eastAsia="ru-RU"/>
              </w:rPr>
              <w:t xml:space="preserve"> работоспособностью систем пожарной сигнализации в образовательной организации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Является ли монтаж и техническое обслуживание системы пожарной сигнализации организацией, имеющей соответствующую лицензию, гарантией того, что при возникновении чрезвычайной ситуации (в данном случае очага возгорания) эта система сработает вовремя и позволит уберечь здоровье работников и материальные ресурсы учреждения? Утвердительно ответить на этот вопрос можно только тогда, когда аппаратура находится в исправном состоянии. Необходимо вести постоянный </w:t>
            </w:r>
            <w:proofErr w:type="gramStart"/>
            <w:r w:rsidRPr="00FC37E0">
              <w:rPr>
                <w:rFonts w:ascii="Roboto-Regular" w:eastAsia="Times New Roman" w:hAnsi="Roboto-Regular" w:cs="Times New Roman"/>
                <w:color w:val="000000"/>
                <w:sz w:val="23"/>
                <w:szCs w:val="23"/>
                <w:lang w:eastAsia="ru-RU"/>
              </w:rPr>
              <w:t>контроль за</w:t>
            </w:r>
            <w:proofErr w:type="gramEnd"/>
            <w:r w:rsidRPr="00FC37E0">
              <w:rPr>
                <w:rFonts w:ascii="Roboto-Regular" w:eastAsia="Times New Roman" w:hAnsi="Roboto-Regular" w:cs="Times New Roman"/>
                <w:color w:val="000000"/>
                <w:sz w:val="23"/>
                <w:szCs w:val="23"/>
                <w:lang w:eastAsia="ru-RU"/>
              </w:rPr>
              <w:t xml:space="preserve"> ее работоспособностью. При этом важно не путать эту процедуру с техническим обслуживанием данного оборудования.</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В соответствии с пунктом 61 Правил противопожарного режима руководитель обязан организовывать не реже одного раза в квартал проведение проверки работоспособности АПС объекта с оформлением соответствующего акта проверки.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Форма Акта проверки работоспособности (проведения работ по техническому обслуживанию) средств обеспечения пожарной безопасности зданий и сооружений приведена в приложении N 19 к приказу МЧС России "Об утверждении форм документов, используемых МЧС России в процессе лицензирования в соответствии с Федеральным законом "О лицензировании отдельных видов деятельности" от 28.05.2012 N 292. В акте указывается адрес проверяемого объекта, тип установленной системы, перечень проведенных работ, сроки проверки и итоговое заключение о состоянии оборудования. Документ в обязательном порядке подписывается должностными лицами и заверяется печатью.</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В процедуре составления акта по итогам проверки работоспособности системы пожарной сигнализации в обязательном порядке принимает участие представитель образовательной организации, на которого возлагается ответственность за реализацию мер по противопожарной безопасности объекта.</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Руководитель обязан издать приказ о назначении </w:t>
            </w:r>
            <w:proofErr w:type="gramStart"/>
            <w:r w:rsidRPr="00FC37E0">
              <w:rPr>
                <w:rFonts w:ascii="Roboto-Regular" w:eastAsia="Times New Roman" w:hAnsi="Roboto-Regular" w:cs="Times New Roman"/>
                <w:color w:val="000000"/>
                <w:sz w:val="23"/>
                <w:szCs w:val="23"/>
                <w:lang w:eastAsia="ru-RU"/>
              </w:rPr>
              <w:t>ответственного</w:t>
            </w:r>
            <w:proofErr w:type="gramEnd"/>
            <w:r w:rsidRPr="00FC37E0">
              <w:rPr>
                <w:rFonts w:ascii="Roboto-Regular" w:eastAsia="Times New Roman" w:hAnsi="Roboto-Regular" w:cs="Times New Roman"/>
                <w:color w:val="000000"/>
                <w:sz w:val="23"/>
                <w:szCs w:val="23"/>
                <w:lang w:eastAsia="ru-RU"/>
              </w:rPr>
              <w:t xml:space="preserve"> за пожарную безопасность. Ответственный за пожарную безопасность, указанный в приказе, должен пройти курс </w:t>
            </w:r>
            <w:proofErr w:type="gramStart"/>
            <w:r w:rsidRPr="00FC37E0">
              <w:rPr>
                <w:rFonts w:ascii="Roboto-Regular" w:eastAsia="Times New Roman" w:hAnsi="Roboto-Regular" w:cs="Times New Roman"/>
                <w:color w:val="000000"/>
                <w:sz w:val="23"/>
                <w:szCs w:val="23"/>
                <w:lang w:eastAsia="ru-RU"/>
              </w:rPr>
              <w:t>обучения по</w:t>
            </w:r>
            <w:proofErr w:type="gramEnd"/>
            <w:r w:rsidRPr="00FC37E0">
              <w:rPr>
                <w:rFonts w:ascii="Roboto-Regular" w:eastAsia="Times New Roman" w:hAnsi="Roboto-Regular" w:cs="Times New Roman"/>
                <w:color w:val="000000"/>
                <w:sz w:val="23"/>
                <w:szCs w:val="23"/>
                <w:lang w:eastAsia="ru-RU"/>
              </w:rPr>
              <w:t xml:space="preserve"> специальной программе пожарно-технического минимума и получить соответствующее удостоверение.</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В проверке также должен участвовать представитель компании-подрядчика, с которой заключен </w:t>
            </w:r>
            <w:r w:rsidRPr="00FC37E0">
              <w:rPr>
                <w:rFonts w:ascii="Roboto-Regular" w:eastAsia="Times New Roman" w:hAnsi="Roboto-Regular" w:cs="Times New Roman"/>
                <w:color w:val="000000"/>
                <w:sz w:val="23"/>
                <w:szCs w:val="23"/>
                <w:lang w:eastAsia="ru-RU"/>
              </w:rPr>
              <w:lastRenderedPageBreak/>
              <w:t>договор на обслуживание установленных на объекте систем сигнализаций. В качестве такого подрядчика может быть выбрано юридическое лицо или индивидуальный предприниматель, имеющий необходимую лицензию на выполнение такого рода работ. Это требование является приоритетным, так как подрядчик, у которого нет соответствующей лицензии, не имеет права проводить данные проверки.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Кроме того, возможны проверки предприятия представителями Государственной противопожарной службы МЧС России. Они обязательно проверяют наличие договора с организацией-подрядчиком, имеющей соответствующую лицензию на техническое обслуживание АПС.</w:t>
            </w:r>
          </w:p>
          <w:p w:rsidR="00FC37E0" w:rsidRPr="00FC37E0" w:rsidRDefault="00FC37E0" w:rsidP="00FC37E0">
            <w:pPr>
              <w:spacing w:after="0" w:line="240" w:lineRule="auto"/>
              <w:jc w:val="both"/>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jc w:val="center"/>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18"/>
                <w:szCs w:val="18"/>
                <w:lang w:eastAsia="ru-RU"/>
              </w:rPr>
              <w:t>Примерный перечень документации образовательной организации,</w:t>
            </w:r>
          </w:p>
          <w:p w:rsidR="00FC37E0" w:rsidRPr="00FC37E0" w:rsidRDefault="00FC37E0" w:rsidP="00FC37E0">
            <w:pPr>
              <w:spacing w:after="0" w:line="240" w:lineRule="auto"/>
              <w:jc w:val="center"/>
              <w:rPr>
                <w:rFonts w:ascii="Roboto-Regular" w:eastAsia="Times New Roman" w:hAnsi="Roboto-Regular" w:cs="Times New Roman"/>
                <w:color w:val="000000"/>
                <w:sz w:val="23"/>
                <w:szCs w:val="23"/>
                <w:lang w:eastAsia="ru-RU"/>
              </w:rPr>
            </w:pPr>
            <w:proofErr w:type="gramStart"/>
            <w:r w:rsidRPr="00FC37E0">
              <w:rPr>
                <w:rFonts w:ascii="Roboto-Regular" w:eastAsia="Times New Roman" w:hAnsi="Roboto-Regular" w:cs="Times New Roman"/>
                <w:color w:val="000000"/>
                <w:sz w:val="18"/>
                <w:szCs w:val="18"/>
                <w:lang w:eastAsia="ru-RU"/>
              </w:rPr>
              <w:t>эксплуатирующего</w:t>
            </w:r>
            <w:proofErr w:type="gramEnd"/>
            <w:r w:rsidRPr="00FC37E0">
              <w:rPr>
                <w:rFonts w:ascii="Roboto-Regular" w:eastAsia="Times New Roman" w:hAnsi="Roboto-Regular" w:cs="Times New Roman"/>
                <w:color w:val="000000"/>
                <w:sz w:val="18"/>
                <w:szCs w:val="18"/>
                <w:lang w:eastAsia="ru-RU"/>
              </w:rPr>
              <w:t xml:space="preserve"> автоматические системы пожарной сигнализации</w:t>
            </w:r>
          </w:p>
          <w:p w:rsidR="00FC37E0" w:rsidRPr="00FC37E0" w:rsidRDefault="00FC37E0" w:rsidP="00FC37E0">
            <w:pPr>
              <w:spacing w:after="0" w:line="240" w:lineRule="auto"/>
              <w:jc w:val="both"/>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tbl>
            <w:tblPr>
              <w:tblW w:w="9660" w:type="dxa"/>
              <w:tblInd w:w="6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719"/>
              <w:gridCol w:w="5283"/>
              <w:gridCol w:w="1815"/>
              <w:gridCol w:w="1843"/>
            </w:tblGrid>
            <w:tr w:rsidR="00FC37E0" w:rsidRPr="00FC37E0">
              <w:tc>
                <w:tcPr>
                  <w:tcW w:w="719" w:type="dxa"/>
                  <w:tcBorders>
                    <w:top w:val="single" w:sz="8" w:space="0" w:color="auto"/>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N</w:t>
                  </w:r>
                </w:p>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FC37E0">
                    <w:rPr>
                      <w:rFonts w:ascii="Times New Roman" w:eastAsia="Times New Roman" w:hAnsi="Times New Roman" w:cs="Times New Roman"/>
                      <w:sz w:val="18"/>
                      <w:szCs w:val="18"/>
                      <w:lang w:eastAsia="ru-RU"/>
                    </w:rPr>
                    <w:t>п</w:t>
                  </w:r>
                  <w:proofErr w:type="spellEnd"/>
                  <w:proofErr w:type="gramEnd"/>
                  <w:r w:rsidRPr="00FC37E0">
                    <w:rPr>
                      <w:rFonts w:ascii="Times New Roman" w:eastAsia="Times New Roman" w:hAnsi="Times New Roman" w:cs="Times New Roman"/>
                      <w:sz w:val="18"/>
                      <w:szCs w:val="18"/>
                      <w:lang w:eastAsia="ru-RU"/>
                    </w:rPr>
                    <w:t>/</w:t>
                  </w:r>
                  <w:proofErr w:type="spellStart"/>
                  <w:r w:rsidRPr="00FC37E0">
                    <w:rPr>
                      <w:rFonts w:ascii="Times New Roman" w:eastAsia="Times New Roman" w:hAnsi="Times New Roman" w:cs="Times New Roman"/>
                      <w:sz w:val="18"/>
                      <w:szCs w:val="18"/>
                      <w:lang w:eastAsia="ru-RU"/>
                    </w:rPr>
                    <w:t>п</w:t>
                  </w:r>
                  <w:proofErr w:type="spellEnd"/>
                </w:p>
              </w:tc>
              <w:tc>
                <w:tcPr>
                  <w:tcW w:w="5281" w:type="dxa"/>
                  <w:tcBorders>
                    <w:top w:val="single" w:sz="8" w:space="0" w:color="auto"/>
                    <w:left w:val="nil"/>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Наименование документов</w:t>
                  </w:r>
                </w:p>
              </w:tc>
              <w:tc>
                <w:tcPr>
                  <w:tcW w:w="1814" w:type="dxa"/>
                  <w:tcBorders>
                    <w:top w:val="single" w:sz="8" w:space="0" w:color="auto"/>
                    <w:left w:val="nil"/>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Отметка о наличии</w:t>
                  </w:r>
                </w:p>
              </w:tc>
              <w:tc>
                <w:tcPr>
                  <w:tcW w:w="1842" w:type="dxa"/>
                  <w:tcBorders>
                    <w:top w:val="single" w:sz="8" w:space="0" w:color="auto"/>
                    <w:left w:val="nil"/>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Примечание</w:t>
                  </w:r>
                </w:p>
              </w:tc>
            </w:tr>
            <w:tr w:rsidR="00FC37E0" w:rsidRPr="00FC37E0">
              <w:tc>
                <w:tcPr>
                  <w:tcW w:w="9656" w:type="dxa"/>
                  <w:gridSpan w:val="4"/>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Эксплуатация систем пожарной безопасности</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Инструкция по эксплуатации автоматической пожарной сигнализации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2.</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Перечень регламентных работ по техническому обслуживанию</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3.</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График проведения технического обслуживания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4.</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Журнал учета работ по проведению технического обслуживания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5.</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Журнал учета неисправностей</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6.</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Протокол проведения комплексных испытаний</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7.</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Договор с обслуживающей организацией на проведение работ по ТО</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8.</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Должностные инструкции лица, ответственного за эксплуатацию систем пожарной сигнализации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9.</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Инструкция по эксплуатации автоматической пожарной сигнализации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10.</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Перечень регламентных работ по техническому обслуживанию</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9656" w:type="dxa"/>
                  <w:gridSpan w:val="4"/>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Исполнительная документация на системы противопожарной защиты</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исполнительные схемы</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2.</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акты освидетельствования скрытых работ</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3.</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акты входного контроля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4.</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передачи оборудования, изделий и материалов в монтаж</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5.</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обследования зданий</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6.</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готовности зданий и сооружений к производству монтажных работ</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7.</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протокол замера сопротивления изоляции электрической проводки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8.</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об окончании монтажных работ</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9.</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 xml:space="preserve">ведомость смонтированных приемно-контрольных приборов (сигнально-пусковых устройств) и </w:t>
                  </w:r>
                  <w:proofErr w:type="spellStart"/>
                  <w:r w:rsidRPr="00FC37E0">
                    <w:rPr>
                      <w:rFonts w:ascii="Times New Roman" w:eastAsia="Times New Roman" w:hAnsi="Times New Roman" w:cs="Times New Roman"/>
                      <w:sz w:val="18"/>
                      <w:szCs w:val="18"/>
                      <w:lang w:eastAsia="ru-RU"/>
                    </w:rPr>
                    <w:t>извещателей</w:t>
                  </w:r>
                  <w:proofErr w:type="spellEnd"/>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10.</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испытания защитных трубопроводов с разделительными уплотнениями на герметичность (составляется при монтаже технических средств сигнализации во взрывоопасных зонах)</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11.</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проведения комплексных испытаний автоматической установки пожарной сигнализации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12.</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приемки технических средств оповещения и управления эвакуацией людей при пожаре в эксплуатацию после комплексного опробования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13.</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акт приемки технических средств системы пожарной сигнализации в эксплуатацию</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9656" w:type="dxa"/>
                  <w:gridSpan w:val="4"/>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Сертификаты и паспорта</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Сертификаты и паспорта качества на применяемые материалы и оборудование, санитарно-эпидемиологические заключения, сертификаты пожарной безопасности</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2.</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Техническая документация предприятий изготовителей, инструкции по эксплуатации оборудования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r w:rsidR="00FC37E0" w:rsidRPr="00FC37E0">
              <w:tc>
                <w:tcPr>
                  <w:tcW w:w="9656" w:type="dxa"/>
                  <w:gridSpan w:val="4"/>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lastRenderedPageBreak/>
                    <w:t>Чертежи</w:t>
                  </w:r>
                </w:p>
              </w:tc>
            </w:tr>
            <w:tr w:rsidR="00FC37E0" w:rsidRPr="00FC37E0">
              <w:tc>
                <w:tcPr>
                  <w:tcW w:w="719" w:type="dxa"/>
                  <w:tcBorders>
                    <w:top w:val="nil"/>
                    <w:left w:val="single" w:sz="8" w:space="0" w:color="auto"/>
                    <w:bottom w:val="single" w:sz="8" w:space="0" w:color="auto"/>
                    <w:right w:val="single" w:sz="8" w:space="0" w:color="auto"/>
                  </w:tcBorders>
                  <w:vAlign w:val="center"/>
                  <w:hideMark/>
                </w:tcPr>
                <w:p w:rsidR="00FC37E0" w:rsidRPr="00FC37E0" w:rsidRDefault="00FC37E0" w:rsidP="00FC37E0">
                  <w:pPr>
                    <w:spacing w:after="0" w:line="240" w:lineRule="auto"/>
                    <w:jc w:val="center"/>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1.</w:t>
                  </w:r>
                </w:p>
              </w:tc>
              <w:tc>
                <w:tcPr>
                  <w:tcW w:w="5281"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18"/>
                      <w:szCs w:val="18"/>
                      <w:lang w:eastAsia="ru-RU"/>
                    </w:rPr>
                    <w:t>Комплект рабочих чертежей на системы пожарной сигнализации и оповещения</w:t>
                  </w:r>
                </w:p>
              </w:tc>
              <w:tc>
                <w:tcPr>
                  <w:tcW w:w="1814"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c>
                <w:tcPr>
                  <w:tcW w:w="1842" w:type="dxa"/>
                  <w:tcBorders>
                    <w:top w:val="nil"/>
                    <w:left w:val="nil"/>
                    <w:bottom w:val="single" w:sz="8" w:space="0" w:color="auto"/>
                    <w:right w:val="single" w:sz="8" w:space="0" w:color="auto"/>
                  </w:tcBorders>
                  <w:vAlign w:val="center"/>
                  <w:hideMark/>
                </w:tcPr>
                <w:p w:rsidR="00FC37E0" w:rsidRPr="00FC37E0" w:rsidRDefault="00FC37E0" w:rsidP="00FC37E0">
                  <w:pPr>
                    <w:spacing w:after="0" w:line="240" w:lineRule="auto"/>
                    <w:rPr>
                      <w:rFonts w:ascii="Times New Roman" w:eastAsia="Times New Roman" w:hAnsi="Times New Roman" w:cs="Times New Roman"/>
                      <w:sz w:val="24"/>
                      <w:szCs w:val="24"/>
                      <w:lang w:eastAsia="ru-RU"/>
                    </w:rPr>
                  </w:pPr>
                  <w:r w:rsidRPr="00FC37E0">
                    <w:rPr>
                      <w:rFonts w:ascii="Times New Roman" w:eastAsia="Times New Roman" w:hAnsi="Times New Roman" w:cs="Times New Roman"/>
                      <w:sz w:val="24"/>
                      <w:szCs w:val="24"/>
                      <w:lang w:eastAsia="ru-RU"/>
                    </w:rPr>
                    <w:t> </w:t>
                  </w:r>
                </w:p>
              </w:tc>
            </w:tr>
          </w:tbl>
          <w:p w:rsidR="00FC37E0" w:rsidRPr="00FC37E0" w:rsidRDefault="00FC37E0" w:rsidP="00FC37E0">
            <w:pPr>
              <w:spacing w:after="0" w:line="240" w:lineRule="auto"/>
              <w:jc w:val="both"/>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Список литературы</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xml:space="preserve">1. ГОСТ </w:t>
            </w:r>
            <w:proofErr w:type="gramStart"/>
            <w:r w:rsidRPr="00FC37E0">
              <w:rPr>
                <w:rFonts w:ascii="Roboto-Regular" w:eastAsia="Times New Roman" w:hAnsi="Roboto-Regular" w:cs="Times New Roman"/>
                <w:color w:val="000000"/>
                <w:sz w:val="23"/>
                <w:szCs w:val="23"/>
                <w:lang w:eastAsia="ru-RU"/>
              </w:rPr>
              <w:t>Р</w:t>
            </w:r>
            <w:proofErr w:type="gramEnd"/>
            <w:r w:rsidRPr="00FC37E0">
              <w:rPr>
                <w:rFonts w:ascii="Roboto-Regular" w:eastAsia="Times New Roman" w:hAnsi="Roboto-Regular" w:cs="Times New Roman"/>
                <w:color w:val="000000"/>
                <w:sz w:val="23"/>
                <w:szCs w:val="23"/>
                <w:lang w:eastAsia="ru-RU"/>
              </w:rPr>
              <w:t xml:space="preserve"> 57974-2017 «Организация проведения проверки работоспособности систем и установок противопожарной защиты зданий и сооружений. Общие требования» (утв. приказом </w:t>
            </w:r>
            <w:proofErr w:type="spellStart"/>
            <w:r w:rsidRPr="00FC37E0">
              <w:rPr>
                <w:rFonts w:ascii="Roboto-Regular" w:eastAsia="Times New Roman" w:hAnsi="Roboto-Regular" w:cs="Times New Roman"/>
                <w:color w:val="000000"/>
                <w:sz w:val="23"/>
                <w:szCs w:val="23"/>
                <w:lang w:eastAsia="ru-RU"/>
              </w:rPr>
              <w:t>Росстандарта</w:t>
            </w:r>
            <w:proofErr w:type="spellEnd"/>
            <w:r w:rsidRPr="00FC37E0">
              <w:rPr>
                <w:rFonts w:ascii="Roboto-Regular" w:eastAsia="Times New Roman" w:hAnsi="Roboto-Regular" w:cs="Times New Roman"/>
                <w:color w:val="000000"/>
                <w:sz w:val="23"/>
                <w:szCs w:val="23"/>
                <w:lang w:eastAsia="ru-RU"/>
              </w:rPr>
              <w:t xml:space="preserve"> от 21.11.2017 N 1794-ст);</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2. Письмо МЗ РТ от 17.03.2017 N 09-01/3998 "О техническом обслуживании и содержании документации для АСПС" (вместе с "Рекомендациями по эксплуатации автоматических систем пожарной сигнализации");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3. Постановление Правительства РФ от 25.04.2012 N 390 (ред. от 30.12.2017)</w:t>
            </w:r>
            <w:r w:rsidRPr="00FC37E0">
              <w:rPr>
                <w:rFonts w:ascii="Roboto-Regular" w:eastAsia="Times New Roman" w:hAnsi="Roboto-Regular" w:cs="Times New Roman"/>
                <w:color w:val="000000"/>
                <w:sz w:val="23"/>
                <w:szCs w:val="23"/>
                <w:lang w:eastAsia="ru-RU"/>
              </w:rPr>
              <w:br/>
              <w:t>"О противопожарном режиме" (вместе с "Правилами противопожарного режима в Российской Федерации");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4. Постановление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(вместе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5. Приказ МЧС России от 28.05.2012 N 292 (ред. от 19.09.2017)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в процессе лицензирования в соответствии с Федеральным законом "О лицензировании отдельных видов деятельности".</w:t>
            </w:r>
          </w:p>
          <w:p w:rsidR="00FC37E0" w:rsidRPr="00FC37E0" w:rsidRDefault="00FC37E0" w:rsidP="00FC37E0">
            <w:pPr>
              <w:spacing w:after="0" w:line="240" w:lineRule="auto"/>
              <w:rPr>
                <w:rFonts w:ascii="Roboto-Regular" w:eastAsia="Times New Roman" w:hAnsi="Roboto-Regular"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after="0" w:line="240" w:lineRule="auto"/>
              <w:rPr>
                <w:rFonts w:eastAsia="Times New Roman" w:cs="Times New Roman"/>
                <w:color w:val="000000"/>
                <w:sz w:val="23"/>
                <w:szCs w:val="23"/>
                <w:lang w:eastAsia="ru-RU"/>
              </w:rPr>
            </w:pPr>
            <w:r w:rsidRPr="00FC37E0">
              <w:rPr>
                <w:rFonts w:ascii="Roboto-Regular" w:eastAsia="Times New Roman" w:hAnsi="Roboto-Regular" w:cs="Times New Roman"/>
                <w:color w:val="000000"/>
                <w:sz w:val="23"/>
                <w:szCs w:val="23"/>
                <w:lang w:eastAsia="ru-RU"/>
              </w:rPr>
              <w:t> </w:t>
            </w:r>
          </w:p>
          <w:p w:rsidR="00FC37E0" w:rsidRPr="00FC37E0" w:rsidRDefault="00FC37E0" w:rsidP="00FC37E0">
            <w:pPr>
              <w:spacing w:before="100" w:beforeAutospacing="1" w:after="100" w:afterAutospacing="1" w:line="240" w:lineRule="auto"/>
              <w:ind w:left="720"/>
              <w:rPr>
                <w:rFonts w:ascii="Roboto-Regular" w:eastAsia="Times New Roman" w:hAnsi="Roboto-Regular" w:cs="Times New Roman"/>
                <w:color w:val="000000"/>
                <w:sz w:val="23"/>
                <w:szCs w:val="23"/>
                <w:lang w:eastAsia="ru-RU"/>
              </w:rPr>
            </w:pPr>
          </w:p>
          <w:p w:rsidR="00FC37E0" w:rsidRPr="00FC37E0" w:rsidRDefault="00FC37E0" w:rsidP="00FC37E0">
            <w:pPr>
              <w:spacing w:before="100" w:beforeAutospacing="1" w:after="100" w:afterAutospacing="1" w:line="240" w:lineRule="auto"/>
              <w:ind w:left="720"/>
              <w:rPr>
                <w:rFonts w:ascii="Roboto-Regular" w:eastAsia="Times New Roman" w:hAnsi="Roboto-Regular" w:cs="Times New Roman"/>
                <w:color w:val="000000"/>
                <w:sz w:val="23"/>
                <w:szCs w:val="23"/>
                <w:lang w:eastAsia="ru-RU"/>
              </w:rPr>
            </w:pPr>
          </w:p>
        </w:tc>
      </w:tr>
    </w:tbl>
    <w:p w:rsidR="00FC37E0" w:rsidRDefault="00FC37E0"/>
    <w:sectPr w:rsidR="00FC37E0" w:rsidSect="00E266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Regular">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875FD"/>
    <w:multiLevelType w:val="multilevel"/>
    <w:tmpl w:val="9502F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C37E0"/>
    <w:rsid w:val="00AE1E40"/>
    <w:rsid w:val="00E2663F"/>
    <w:rsid w:val="00FC3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6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7E0"/>
    <w:rPr>
      <w:b/>
      <w:bCs/>
    </w:rPr>
  </w:style>
  <w:style w:type="character" w:styleId="a5">
    <w:name w:val="Hyperlink"/>
    <w:basedOn w:val="a0"/>
    <w:uiPriority w:val="99"/>
    <w:semiHidden/>
    <w:unhideWhenUsed/>
    <w:rsid w:val="00FC37E0"/>
    <w:rPr>
      <w:color w:val="0000FF"/>
      <w:u w:val="single"/>
    </w:rPr>
  </w:style>
  <w:style w:type="paragraph" w:customStyle="1" w:styleId="consplusnormal0">
    <w:name w:val="consplusnormal0"/>
    <w:basedOn w:val="a"/>
    <w:rsid w:val="00FC37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048420">
      <w:bodyDiv w:val="1"/>
      <w:marLeft w:val="0"/>
      <w:marRight w:val="0"/>
      <w:marTop w:val="0"/>
      <w:marBottom w:val="0"/>
      <w:divBdr>
        <w:top w:val="none" w:sz="0" w:space="0" w:color="auto"/>
        <w:left w:val="none" w:sz="0" w:space="0" w:color="auto"/>
        <w:bottom w:val="none" w:sz="0" w:space="0" w:color="auto"/>
        <w:right w:val="none" w:sz="0" w:space="0" w:color="auto"/>
      </w:divBdr>
      <w:divsChild>
        <w:div w:id="2024428191">
          <w:marLeft w:val="0"/>
          <w:marRight w:val="0"/>
          <w:marTop w:val="0"/>
          <w:marBottom w:val="0"/>
          <w:divBdr>
            <w:top w:val="none" w:sz="0" w:space="0" w:color="auto"/>
            <w:left w:val="none" w:sz="0" w:space="0" w:color="auto"/>
            <w:bottom w:val="none" w:sz="0" w:space="0" w:color="auto"/>
            <w:right w:val="none" w:sz="0" w:space="0" w:color="auto"/>
          </w:divBdr>
        </w:div>
        <w:div w:id="353118624">
          <w:marLeft w:val="0"/>
          <w:marRight w:val="0"/>
          <w:marTop w:val="0"/>
          <w:marBottom w:val="0"/>
          <w:divBdr>
            <w:top w:val="none" w:sz="0" w:space="0" w:color="auto"/>
            <w:left w:val="none" w:sz="0" w:space="0" w:color="auto"/>
            <w:bottom w:val="none" w:sz="0" w:space="0" w:color="auto"/>
            <w:right w:val="none" w:sz="0" w:space="0" w:color="auto"/>
          </w:divBdr>
          <w:divsChild>
            <w:div w:id="1175681584">
              <w:marLeft w:val="0"/>
              <w:marRight w:val="0"/>
              <w:marTop w:val="0"/>
              <w:marBottom w:val="0"/>
              <w:divBdr>
                <w:top w:val="none" w:sz="0" w:space="0" w:color="auto"/>
                <w:left w:val="none" w:sz="0" w:space="0" w:color="auto"/>
                <w:bottom w:val="none" w:sz="0" w:space="0" w:color="auto"/>
                <w:right w:val="none" w:sz="0" w:space="0" w:color="auto"/>
              </w:divBdr>
            </w:div>
            <w:div w:id="845097120">
              <w:marLeft w:val="0"/>
              <w:marRight w:val="0"/>
              <w:marTop w:val="0"/>
              <w:marBottom w:val="0"/>
              <w:divBdr>
                <w:top w:val="none" w:sz="0" w:space="0" w:color="auto"/>
                <w:left w:val="none" w:sz="0" w:space="0" w:color="auto"/>
                <w:bottom w:val="none" w:sz="0" w:space="0" w:color="auto"/>
                <w:right w:val="none" w:sz="0" w:space="0" w:color="auto"/>
              </w:divBdr>
            </w:div>
            <w:div w:id="5149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8965">
      <w:bodyDiv w:val="1"/>
      <w:marLeft w:val="0"/>
      <w:marRight w:val="0"/>
      <w:marTop w:val="0"/>
      <w:marBottom w:val="0"/>
      <w:divBdr>
        <w:top w:val="none" w:sz="0" w:space="0" w:color="auto"/>
        <w:left w:val="none" w:sz="0" w:space="0" w:color="auto"/>
        <w:bottom w:val="none" w:sz="0" w:space="0" w:color="auto"/>
        <w:right w:val="none" w:sz="0" w:space="0" w:color="auto"/>
      </w:divBdr>
      <w:divsChild>
        <w:div w:id="447049945">
          <w:marLeft w:val="0"/>
          <w:marRight w:val="0"/>
          <w:marTop w:val="0"/>
          <w:marBottom w:val="0"/>
          <w:divBdr>
            <w:top w:val="none" w:sz="0" w:space="0" w:color="auto"/>
            <w:left w:val="none" w:sz="0" w:space="0" w:color="auto"/>
            <w:bottom w:val="none" w:sz="0" w:space="0" w:color="auto"/>
            <w:right w:val="none" w:sz="0" w:space="0" w:color="auto"/>
          </w:divBdr>
        </w:div>
        <w:div w:id="1859075725">
          <w:marLeft w:val="0"/>
          <w:marRight w:val="0"/>
          <w:marTop w:val="0"/>
          <w:marBottom w:val="0"/>
          <w:divBdr>
            <w:top w:val="none" w:sz="0" w:space="0" w:color="auto"/>
            <w:left w:val="none" w:sz="0" w:space="0" w:color="auto"/>
            <w:bottom w:val="none" w:sz="0" w:space="0" w:color="auto"/>
            <w:right w:val="none" w:sz="0" w:space="0" w:color="auto"/>
          </w:divBdr>
          <w:divsChild>
            <w:div w:id="1800372050">
              <w:marLeft w:val="0"/>
              <w:marRight w:val="0"/>
              <w:marTop w:val="0"/>
              <w:marBottom w:val="0"/>
              <w:divBdr>
                <w:top w:val="none" w:sz="0" w:space="0" w:color="auto"/>
                <w:left w:val="none" w:sz="0" w:space="0" w:color="auto"/>
                <w:bottom w:val="none" w:sz="0" w:space="0" w:color="auto"/>
                <w:right w:val="none" w:sz="0" w:space="0" w:color="auto"/>
              </w:divBdr>
            </w:div>
            <w:div w:id="327708122">
              <w:marLeft w:val="0"/>
              <w:marRight w:val="0"/>
              <w:marTop w:val="0"/>
              <w:marBottom w:val="0"/>
              <w:divBdr>
                <w:top w:val="none" w:sz="0" w:space="0" w:color="auto"/>
                <w:left w:val="none" w:sz="0" w:space="0" w:color="auto"/>
                <w:bottom w:val="none" w:sz="0" w:space="0" w:color="auto"/>
                <w:right w:val="none" w:sz="0" w:space="0" w:color="auto"/>
              </w:divBdr>
            </w:div>
            <w:div w:id="17533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2496</Words>
  <Characters>14230</Characters>
  <Application>Microsoft Office Word</Application>
  <DocSecurity>0</DocSecurity>
  <Lines>118</Lines>
  <Paragraphs>33</Paragraphs>
  <ScaleCrop>false</ScaleCrop>
  <Company/>
  <LinksUpToDate>false</LinksUpToDate>
  <CharactersWithSpaces>16693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ЗАИРА</cp:lastModifiedBy>
  <cp:revision>3</cp:revision>
  <cp:lastPrinted>2020-10-24T10:56:00Z</cp:lastPrinted>
  <dcterms:created xsi:type="dcterms:W3CDTF">2020-10-24T10:51:00Z</dcterms:created>
  <dcterms:modified xsi:type="dcterms:W3CDTF">2020-10-24T10:57:00Z</dcterms:modified>
</cp:coreProperties>
</file>